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PENYATA KAEDAH</w:t>
      </w:r>
    </w:p>
    <w:p>
      <w:pPr>
        <w:spacing w:after="240"/>
      </w:pPr>
      <w:r>
        <w:rPr>
          <w:rFonts w:ascii="Aptos" w:hAnsi="Aptos"/>
          <w:b/>
          <w:color w:val="071E33"/>
          <w:sz w:val="50"/>
        </w:rPr>
        <w:t>PEMERIKSAAN KEADAAN, PEMETAAN KECACATAN DAN UJIAN DIAGNOSTIK KONKRIT</w:t>
      </w:r>
    </w:p>
    <w:p>
      <w:pPr>
        <w:spacing w:after="480"/>
      </w:pPr>
      <w:r>
        <w:rPr>
          <w:rFonts w:ascii="Aptos" w:hAnsi="Aptos"/>
          <w:b w:val="0"/>
          <w:color w:val="5E6B78"/>
          <w:sz w:val="26"/>
        </w:rPr>
        <w:t>Concrete Condition Survey, Defect Mapping and Diagnostic Testing</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t>Maklumat Dokumen</w:t>
            </w:r>
            <w:r>
              <w:rPr>
                <w:rFonts w:ascii="Aptos" w:hAnsi="Aptos"/>
                <w:b/>
                <w:color w:val="FFFFFF"/>
                <w:sz w:val="17"/>
              </w:rPr>
            </w:r>
          </w:p>
        </w:tc>
        <w:tc>
          <w:tcPr>
            <w:tcW w:type="dxa" w:w="6803"/>
            <w:shd w:fill="071E33"/>
            <w:tcMar>
              <w:top w:w="120" w:type="dxa"/>
              <w:start w:w="140" w:type="dxa"/>
              <w:bottom w:w="120" w:type="dxa"/>
              <w:end w:w="140" w:type="dxa"/>
            </w:tcMar>
            <w:vAlign w:val="center"/>
          </w:tcPr>
          <w:p>
            <w:pPr>
              <w:spacing w:after="0"/>
              <w:jc w:val="left"/>
            </w:pPr>
            <w:r>
              <w:t>Butiran</w:t>
            </w:r>
            <w:r>
              <w:rPr>
                <w:rFonts w:ascii="Aptos" w:hAnsi="Aptos"/>
                <w:b/>
                <w:color w:val="FFFFFF"/>
                <w:sz w:val="17"/>
              </w:rPr>
            </w:r>
          </w:p>
        </w:tc>
      </w:tr>
      <w:tr>
        <w:trPr>
          <w:cantSplit/>
        </w:trPr>
        <w:tc>
          <w:tcPr>
            <w:tcW w:type="dxa" w:w="2835"/>
            <w:tcMar>
              <w:top w:w="120" w:type="dxa"/>
              <w:start w:w="140" w:type="dxa"/>
              <w:bottom w:w="120" w:type="dxa"/>
              <w:end w:w="140" w:type="dxa"/>
            </w:tcMar>
            <w:vAlign w:val="center"/>
          </w:tcPr>
          <w:p>
            <w:pPr>
              <w:spacing w:after="0"/>
              <w:jc w:val="left"/>
            </w:pPr>
            <w:r>
              <w:t>Projek</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 PROJEK]</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Majikan / Klien</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Kontraktor Utama</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Perunding</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JURUTERA PERUNDING / ARKITEK]</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No. Dokumen</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MS-CRP-001</w:t>
            </w:r>
          </w:p>
        </w:tc>
      </w:tr>
      <w:tr>
        <w:trPr>
          <w:cantSplit/>
        </w:trPr>
        <w:tc>
          <w:tcPr>
            <w:tcW w:type="dxa" w:w="2835"/>
            <w:shd w:fill="F4F7FA"/>
            <w:tcMar>
              <w:top w:w="120" w:type="dxa"/>
              <w:start w:w="140" w:type="dxa"/>
              <w:bottom w:w="120" w:type="dxa"/>
              <w:end w:w="140" w:type="dxa"/>
            </w:tcMar>
            <w:vAlign w:val="center"/>
          </w:tcPr>
          <w:p>
            <w:pPr>
              <w:spacing w:after="0"/>
              <w:jc w:val="left"/>
            </w:pPr>
            <w:r>
              <w:t>Semakan / Tarikh</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t>PENTING: Ini ialah template permulaan yang boleh diedit. Pasukan projek yang kompeten hendaklah menyesuaikan dan meluluskannya berdasarkan kontrak, lukisan diluluskan, spesifikasi projek, keadaan sebenar tapak, bahan diluluskan, arahan pengilang, keperluan undang-undang Malaysia yang berkenaan serta prosedur penyerahan Perunding sebelum kerja dimulakan.</w:t>
            </w:r>
            <w:r>
              <w:rPr>
                <w:rFonts w:ascii="Aptos" w:hAnsi="Aptos"/>
                <w:b/>
                <w:color w:val="071E33"/>
                <w:sz w:val="18"/>
              </w:rPr>
            </w:r>
          </w:p>
        </w:tc>
      </w:tr>
    </w:tbl>
    <w:p>
      <w:r>
        <w:br w:type="page"/>
      </w:r>
    </w:p>
    <w:p>
      <w:pPr>
        <w:pStyle w:val="Heading1"/>
        <w:keepNext/>
        <w:spacing w:before="240" w:after="100"/>
      </w:pPr>
      <w:r>
        <w:rPr>
          <w:rFonts w:ascii="Aptos" w:hAnsi="Aptos"/>
          <w:b/>
          <w:color w:val="071E33"/>
          <w:sz w:val="28"/>
        </w:rPr>
        <w:t>KAWALAN DOKUMEN</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t>Tarikh</w:t>
            </w:r>
            <w:r>
              <w:rPr>
                <w:rFonts w:ascii="Aptos" w:hAnsi="Aptos"/>
                <w:b/>
                <w:color w:val="FFFFFF"/>
                <w:sz w:val="17"/>
              </w:rPr>
            </w:r>
          </w:p>
        </w:tc>
        <w:tc>
          <w:tcPr>
            <w:tcW w:type="dxa" w:w="2494"/>
            <w:shd w:fill="071E33"/>
            <w:tcMar>
              <w:top w:w="120" w:type="dxa"/>
              <w:start w:w="140" w:type="dxa"/>
              <w:bottom w:w="120" w:type="dxa"/>
              <w:end w:w="140" w:type="dxa"/>
            </w:tcMar>
            <w:vAlign w:val="center"/>
          </w:tcPr>
          <w:p>
            <w:pPr>
              <w:spacing w:after="0"/>
              <w:jc w:val="left"/>
            </w:pPr>
            <w:r>
              <w:t>Penerangan</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Disediakan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Disemak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Diluluskan oleh</w:t>
            </w:r>
            <w:r>
              <w:rPr>
                <w:rFonts w:ascii="Aptos" w:hAnsi="Aptos"/>
                <w:b/>
                <w:color w:val="FFFFFF"/>
                <w:sz w:val="17"/>
              </w:rPr>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t>[Tarikh]</w:t>
            </w:r>
            <w:r>
              <w:rPr>
                <w:rFonts w:ascii="Aptos" w:hAnsi="Aptos"/>
                <w:b w:val="0"/>
                <w:color w:val="263442"/>
                <w:sz w:val="17"/>
              </w:rPr>
            </w:r>
          </w:p>
        </w:tc>
        <w:tc>
          <w:tcPr>
            <w:tcW w:type="dxa" w:w="2494"/>
            <w:tcMar>
              <w:top w:w="120" w:type="dxa"/>
              <w:start w:w="140" w:type="dxa"/>
              <w:bottom w:w="120" w:type="dxa"/>
              <w:end w:w="140" w:type="dxa"/>
            </w:tcMar>
            <w:vAlign w:val="center"/>
          </w:tcPr>
          <w:p>
            <w:pPr>
              <w:spacing w:after="0"/>
              <w:jc w:val="left"/>
            </w:pPr>
            <w:r>
              <w:t>Penyerahan awal</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STATUS PENYERAHAN</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t>Semakan Perunding</w:t>
            </w:r>
            <w:r>
              <w:rPr>
                <w:rFonts w:ascii="Aptos" w:hAnsi="Aptos"/>
                <w:b/>
                <w:color w:val="FFFFFF"/>
                <w:sz w:val="17"/>
              </w:rPr>
            </w:r>
          </w:p>
        </w:tc>
        <w:tc>
          <w:tcPr>
            <w:tcW w:type="dxa" w:w="5386"/>
            <w:shd w:fill="071E33"/>
            <w:tcMar>
              <w:top w:w="120" w:type="dxa"/>
              <w:start w:w="140" w:type="dxa"/>
              <w:bottom w:w="120" w:type="dxa"/>
              <w:end w:w="140" w:type="dxa"/>
            </w:tcMar>
            <w:vAlign w:val="center"/>
          </w:tcPr>
          <w:p>
            <w:pPr>
              <w:spacing w:after="0"/>
              <w:jc w:val="left"/>
            </w:pPr>
            <w:r>
              <w:t>Tanda / Ulasan</w:t>
            </w:r>
            <w:r>
              <w:rPr>
                <w:rFonts w:ascii="Aptos" w:hAnsi="Aptos"/>
                <w:b/>
                <w:color w:val="FFFFFF"/>
                <w:sz w:val="17"/>
              </w:rPr>
            </w:r>
          </w:p>
        </w:tc>
      </w:tr>
      <w:tr>
        <w:trPr>
          <w:cantSplit/>
        </w:trPr>
        <w:tc>
          <w:tcPr>
            <w:tcW w:type="dxa" w:w="4252"/>
            <w:tcMar>
              <w:top w:w="120" w:type="dxa"/>
              <w:start w:w="140" w:type="dxa"/>
              <w:bottom w:w="120" w:type="dxa"/>
              <w:end w:w="140" w:type="dxa"/>
            </w:tcMar>
            <w:vAlign w:val="center"/>
          </w:tcPr>
          <w:p>
            <w:pPr>
              <w:spacing w:after="0"/>
              <w:jc w:val="left"/>
            </w:pPr>
            <w:r>
              <w:t>Diluluskan</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Diluluskan dengan ulasan</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t>Pinda dan serah semula</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Ditolak</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TUJUAN</w:t>
      </w:r>
    </w:p>
    <w:p>
      <w:r>
        <w:rPr>
          <w:rFonts w:ascii="Aptos" w:hAnsi="Aptos"/>
          <w:b w:val="0"/>
          <w:color w:val="263442"/>
          <w:sz w:val="19"/>
        </w:rPr>
        <w:t>Penyata kaedah ini menetapkan kawalan, urutan, sumber dan keperluan pemeriksaan yang dicadangkan bagi pemeriksaan keadaan, pemetaan kecacatan dan ujian diagnostik konkrit supaya kerja dilaksanakan dengan selamat, konsisten dan selaras dengan keperluan projek yang diluluskan.</w:t>
      </w:r>
    </w:p>
    <w:p>
      <w:pPr>
        <w:pStyle w:val="Heading1"/>
        <w:keepNext/>
        <w:spacing w:before="240" w:after="100"/>
      </w:pPr>
      <w:r>
        <w:rPr>
          <w:rFonts w:ascii="Aptos" w:hAnsi="Aptos"/>
          <w:b/>
          <w:color w:val="071E33"/>
          <w:sz w:val="28"/>
        </w:rPr>
        <w:t>2. SKOP</w:t>
      </w:r>
    </w:p>
    <w:p>
      <w:r>
        <w:rPr>
          <w:rFonts w:ascii="Aptos" w:hAnsi="Aptos"/>
          <w:b w:val="0"/>
          <w:color w:val="263442"/>
          <w:sz w:val="19"/>
        </w:rPr>
        <w:t>Skop merangkumi persediaan, penerimaan bahan, pelaksanaan, pemeriksaan, pengujian, perlindungan, rekod dan penyerahan berkaitan pemeriksaan keadaan, pemetaan kecacatan dan ujian diagnostik konkrit. Interface dengan trade terdahulu dan seterusnya turut termasuk apabila menjejaskan mutu atau keselamatan kerja.</w:t>
      </w:r>
    </w:p>
    <w:p>
      <w:pPr>
        <w:pStyle w:val="Heading1"/>
        <w:keepNext/>
        <w:spacing w:before="240" w:after="100"/>
      </w:pPr>
      <w:r>
        <w:rPr>
          <w:rFonts w:ascii="Aptos" w:hAnsi="Aptos"/>
          <w:b/>
          <w:color w:val="071E33"/>
          <w:sz w:val="28"/>
        </w:rPr>
        <w:t>3. RUJUKAN DAN KEUTAMAAN</w:t>
      </w:r>
    </w:p>
    <w:p>
      <w:pPr>
        <w:pStyle w:val="ListBullet"/>
        <w:spacing w:after="50"/>
        <w:ind w:left="369" w:hanging="170"/>
      </w:pPr>
      <w:r>
        <w:rPr>
          <w:rFonts w:ascii="Aptos" w:hAnsi="Aptos"/>
          <w:b w:val="0"/>
          <w:color w:val="263442"/>
          <w:sz w:val="19"/>
        </w:rPr>
        <w:t>Dokumen kontrak, spesifikasi projek dan lukisan pembinaan terkini yang diluluskan.</w:t>
      </w:r>
    </w:p>
    <w:p>
      <w:pPr>
        <w:pStyle w:val="ListBullet"/>
        <w:spacing w:after="50"/>
        <w:ind w:left="369" w:hanging="170"/>
      </w:pPr>
      <w:r>
        <w:rPr>
          <w:rFonts w:ascii="Aptos" w:hAnsi="Aptos"/>
          <w:b w:val="0"/>
          <w:color w:val="263442"/>
          <w:sz w:val="19"/>
        </w:rPr>
        <w:t>Penyerahan bahan, sampel, lukisan kerja dan lukisan koordinasi yang diluluskan.</w:t>
      </w:r>
    </w:p>
    <w:p>
      <w:pPr>
        <w:pStyle w:val="ListBullet"/>
        <w:spacing w:after="50"/>
        <w:ind w:left="369" w:hanging="170"/>
      </w:pPr>
      <w:r>
        <w:rPr>
          <w:rFonts w:ascii="Aptos" w:hAnsi="Aptos"/>
          <w:b w:val="0"/>
          <w:color w:val="263442"/>
          <w:sz w:val="19"/>
        </w:rPr>
        <w:t>Arahan semasa pengilang bagi pemasangan, penyimpanan, pengujian dan penyelenggaraan.</w:t>
      </w:r>
    </w:p>
    <w:p>
      <w:pPr>
        <w:pStyle w:val="ListBullet"/>
        <w:spacing w:after="50"/>
        <w:ind w:left="369" w:hanging="170"/>
      </w:pPr>
      <w:r>
        <w:rPr>
          <w:rFonts w:ascii="Aptos" w:hAnsi="Aptos"/>
          <w:b w:val="0"/>
          <w:color w:val="263442"/>
          <w:sz w:val="19"/>
        </w:rPr>
        <w:t>Pelan Pemeriksaan dan Pengujian, penilaian risiko, permit serta pelan HSE projek yang diluluskan.</w:t>
      </w:r>
    </w:p>
    <w:p>
      <w:pPr>
        <w:pStyle w:val="ListBullet"/>
        <w:spacing w:after="50"/>
        <w:ind w:left="369" w:hanging="170"/>
      </w:pPr>
      <w:r>
        <w:rPr>
          <w:rFonts w:ascii="Aptos" w:hAnsi="Aptos"/>
          <w:b w:val="0"/>
          <w:color w:val="263442"/>
          <w:sz w:val="19"/>
        </w:rPr>
        <w:t>Undang-undang Malaysia, kehendak pihak berkuasa, piawaian dan kod berkaitan yang dinyatakan dalam spesifikasi projek.</w:t>
      </w:r>
    </w:p>
    <w:p>
      <w:pPr>
        <w:pStyle w:val="ListBullet"/>
        <w:spacing w:after="50"/>
        <w:ind w:left="369" w:hanging="170"/>
      </w:pPr>
      <w:r>
        <w:rPr>
          <w:rFonts w:ascii="Aptos" w:hAnsi="Aptos"/>
          <w:b w:val="0"/>
          <w:color w:val="263442"/>
          <w:sz w:val="19"/>
        </w:rPr>
        <w:t>Jika terdapat percanggahan keperluan, hentikan kerja dan dapatkan penjelasan bertulis daripada Perunding sebelum meneruskan.</w:t>
      </w:r>
    </w:p>
    <w:p>
      <w:pPr>
        <w:pStyle w:val="Heading1"/>
        <w:keepNext/>
        <w:spacing w:before="240" w:after="100"/>
      </w:pPr>
      <w:r>
        <w:rPr>
          <w:rFonts w:ascii="Aptos" w:hAnsi="Aptos"/>
          <w:b/>
          <w:color w:val="071E33"/>
          <w:sz w:val="28"/>
        </w:rPr>
        <w:t>4. TANGGUNGJAWAB</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t>Peranan</w:t>
            </w:r>
            <w:r>
              <w:rPr>
                <w:rFonts w:ascii="Aptos" w:hAnsi="Aptos"/>
                <w:b/>
                <w:color w:val="FFFFFF"/>
                <w:sz w:val="17"/>
              </w:rPr>
            </w:r>
          </w:p>
        </w:tc>
        <w:tc>
          <w:tcPr>
            <w:tcW w:type="dxa" w:w="7200"/>
            <w:shd w:fill="071E33"/>
            <w:tcMar>
              <w:top w:w="120" w:type="dxa"/>
              <w:start w:w="140" w:type="dxa"/>
              <w:bottom w:w="120" w:type="dxa"/>
              <w:end w:w="140" w:type="dxa"/>
            </w:tcMar>
            <w:vAlign w:val="center"/>
          </w:tcPr>
          <w:p>
            <w:pPr>
              <w:spacing w:after="0"/>
              <w:jc w:val="left"/>
            </w:pPr>
            <w:r>
              <w:t>Tanggungjawab minimum</w:t>
            </w:r>
            <w:r>
              <w:rPr>
                <w:rFonts w:ascii="Aptos" w:hAnsi="Aptos"/>
                <w:b/>
                <w:color w:val="FFFFFF"/>
                <w:sz w:val="17"/>
              </w:rPr>
            </w:r>
          </w:p>
        </w:tc>
      </w:tr>
      <w:tr>
        <w:trPr>
          <w:cantSplit/>
        </w:trPr>
        <w:tc>
          <w:tcPr>
            <w:tcW w:type="dxa" w:w="2438"/>
            <w:tcMar>
              <w:top w:w="120" w:type="dxa"/>
              <w:start w:w="140" w:type="dxa"/>
              <w:bottom w:w="120" w:type="dxa"/>
              <w:end w:w="140" w:type="dxa"/>
            </w:tcMar>
            <w:vAlign w:val="center"/>
          </w:tcPr>
          <w:p>
            <w:pPr>
              <w:spacing w:after="0"/>
              <w:jc w:val="left"/>
            </w:pPr>
            <w:r>
              <w:t>Pengurus Projek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Sediakan sumber, luluskan pelan kerja dan pastikan semua interface diselesaikan.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Pengurus Pembinaan / Tapak</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Selaraskan urutan, akses, permit dan pelaksanaan harian.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Jurutera Tapak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lukisan, setting-out, kawalan teknikal dan rekod.</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Jurutera QA/QC</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Urus pemeriksaan, ujian, hold point, ketidakpatuhan dan rekod penyerahan.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Personel Keselamatan dan Kesihatan</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kawalan risiko, taklimat, permit dan kesiapsiagaan kecemasan.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Penyelia / Foreman</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Beri taklimat kepada pekerja, kawal mutu kerja dan kekalkan housekeeping.</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Juruukur / Pakar</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Laksanakan pemeriksaan, pengujian atau kerja pakar yang ditetapkan menggunakan peralatan berkalibrasi.</w:t>
            </w:r>
            <w:r>
              <w:rPr>
                <w:rFonts w:ascii="Aptos" w:hAnsi="Aptos"/>
                <w:b w:val="0"/>
                <w:color w:val="263442"/>
                <w:sz w:val="17"/>
              </w:rPr>
            </w:r>
          </w:p>
        </w:tc>
      </w:tr>
    </w:tbl>
    <w:p>
      <w:pPr>
        <w:pStyle w:val="Heading1"/>
        <w:keepNext/>
        <w:spacing w:before="240" w:after="100"/>
      </w:pPr>
      <w:r>
        <w:rPr>
          <w:rFonts w:ascii="Aptos" w:hAnsi="Aptos"/>
          <w:b/>
          <w:color w:val="071E33"/>
          <w:sz w:val="28"/>
        </w:rPr>
        <w:t>5. BAHAN</w:t>
      </w:r>
    </w:p>
    <w:p>
      <w:pPr>
        <w:pStyle w:val="ListBullet"/>
        <w:spacing w:after="50"/>
        <w:ind w:left="369" w:hanging="170"/>
      </w:pPr>
      <w:r>
        <w:rPr>
          <w:rFonts w:ascii="Aptos" w:hAnsi="Aptos"/>
          <w:b w:val="0"/>
          <w:color w:val="263442"/>
          <w:sz w:val="19"/>
        </w:rPr>
        <w:t>Kecacatan-marking paint</w:t>
      </w:r>
    </w:p>
    <w:p>
      <w:pPr>
        <w:pStyle w:val="ListBullet"/>
        <w:spacing w:after="50"/>
        <w:ind w:left="369" w:hanging="170"/>
      </w:pPr>
      <w:r>
        <w:rPr>
          <w:rFonts w:ascii="Aptos" w:hAnsi="Aptos"/>
          <w:b w:val="0"/>
          <w:color w:val="263442"/>
          <w:sz w:val="19"/>
        </w:rPr>
        <w:t>Core-hole mortar pembaikan</w:t>
      </w:r>
    </w:p>
    <w:p>
      <w:pPr>
        <w:pStyle w:val="ListBullet"/>
        <w:spacing w:after="50"/>
        <w:ind w:left="369" w:hanging="170"/>
      </w:pPr>
      <w:r>
        <w:rPr>
          <w:rFonts w:ascii="Aptos" w:hAnsi="Aptos"/>
          <w:b w:val="0"/>
          <w:color w:val="263442"/>
          <w:sz w:val="19"/>
        </w:rPr>
        <w:t>Couplant gel</w:t>
      </w:r>
    </w:p>
    <w:p>
      <w:pPr>
        <w:pStyle w:val="ListBullet"/>
        <w:spacing w:after="50"/>
        <w:ind w:left="369" w:hanging="170"/>
      </w:pPr>
      <w:r>
        <w:rPr>
          <w:rFonts w:ascii="Aptos" w:hAnsi="Aptos"/>
          <w:b w:val="0"/>
          <w:color w:val="263442"/>
          <w:sz w:val="19"/>
        </w:rPr>
        <w:t>Ambil sampel bags dan labels</w:t>
      </w:r>
    </w:p>
    <w:p>
      <w:pPr>
        <w:pStyle w:val="ListBullet"/>
        <w:spacing w:after="50"/>
        <w:ind w:left="369" w:hanging="170"/>
      </w:pPr>
      <w:r>
        <w:rPr>
          <w:rFonts w:ascii="Aptos" w:hAnsi="Aptos"/>
          <w:b w:val="0"/>
          <w:color w:val="263442"/>
          <w:sz w:val="19"/>
        </w:rPr>
        <w:t>Semua bahan kekal hendaklah mematuhi penyerahan yang diluluskan, boleh dijejaki jika diperlukan dan disimpan bagi mengelakkan kerosakan atau pencemaran.</w:t>
      </w:r>
    </w:p>
    <w:p>
      <w:pPr>
        <w:pStyle w:val="Heading1"/>
        <w:keepNext/>
        <w:spacing w:before="240" w:after="100"/>
      </w:pPr>
      <w:r>
        <w:rPr>
          <w:rFonts w:ascii="Aptos" w:hAnsi="Aptos"/>
          <w:b/>
          <w:color w:val="071E33"/>
          <w:sz w:val="28"/>
        </w:rPr>
        <w:t>6. LOJI, ALAT DAN PERALATAN</w:t>
      </w:r>
    </w:p>
    <w:p>
      <w:pPr>
        <w:pStyle w:val="ListBullet"/>
        <w:spacing w:after="50"/>
        <w:ind w:left="369" w:hanging="170"/>
      </w:pPr>
      <w:r>
        <w:rPr>
          <w:rFonts w:ascii="Aptos" w:hAnsi="Aptos"/>
          <w:b w:val="0"/>
          <w:color w:val="263442"/>
          <w:sz w:val="19"/>
        </w:rPr>
        <w:t>Mikroskop lebar retak</w:t>
      </w:r>
    </w:p>
    <w:p>
      <w:pPr>
        <w:pStyle w:val="ListBullet"/>
        <w:spacing w:after="50"/>
        <w:ind w:left="369" w:hanging="170"/>
      </w:pPr>
      <w:r>
        <w:rPr>
          <w:rFonts w:ascii="Aptos" w:hAnsi="Aptos"/>
          <w:b w:val="0"/>
          <w:color w:val="263442"/>
          <w:sz w:val="19"/>
        </w:rPr>
        <w:t>Meter ketebalan cover</w:t>
      </w:r>
    </w:p>
    <w:p>
      <w:pPr>
        <w:pStyle w:val="ListBullet"/>
        <w:spacing w:after="50"/>
        <w:ind w:left="369" w:hanging="170"/>
      </w:pPr>
      <w:r>
        <w:rPr>
          <w:rFonts w:ascii="Aptos" w:hAnsi="Aptos"/>
          <w:b w:val="0"/>
          <w:color w:val="263442"/>
          <w:sz w:val="19"/>
        </w:rPr>
        <w:t>Tukul pantulan</w:t>
      </w:r>
    </w:p>
    <w:p>
      <w:pPr>
        <w:pStyle w:val="ListBullet"/>
        <w:spacing w:after="50"/>
        <w:ind w:left="369" w:hanging="170"/>
      </w:pPr>
      <w:r>
        <w:rPr>
          <w:rFonts w:ascii="Aptos" w:hAnsi="Aptos"/>
          <w:b w:val="0"/>
          <w:color w:val="263442"/>
          <w:sz w:val="19"/>
        </w:rPr>
        <w:t>Alat ujian halaju denyut ultrasonik</w:t>
      </w:r>
    </w:p>
    <w:p>
      <w:pPr>
        <w:pStyle w:val="ListBullet"/>
        <w:spacing w:after="50"/>
        <w:ind w:left="369" w:hanging="170"/>
      </w:pPr>
      <w:r>
        <w:rPr>
          <w:rFonts w:ascii="Aptos" w:hAnsi="Aptos"/>
          <w:b w:val="0"/>
          <w:color w:val="263442"/>
          <w:sz w:val="19"/>
        </w:rPr>
        <w:t>Meter keupayaan half-cell</w:t>
      </w:r>
    </w:p>
    <w:p>
      <w:pPr>
        <w:pStyle w:val="ListBullet"/>
        <w:spacing w:after="50"/>
        <w:ind w:left="369" w:hanging="170"/>
      </w:pPr>
      <w:r>
        <w:rPr>
          <w:rFonts w:ascii="Aptos" w:hAnsi="Aptos"/>
          <w:b w:val="0"/>
          <w:color w:val="263442"/>
          <w:sz w:val="19"/>
        </w:rPr>
        <w:t>Gerudi teras</w:t>
      </w:r>
    </w:p>
    <w:p>
      <w:pPr>
        <w:pStyle w:val="ListBullet"/>
        <w:spacing w:after="50"/>
        <w:ind w:left="369" w:hanging="170"/>
      </w:pPr>
      <w:r>
        <w:rPr>
          <w:rFonts w:ascii="Aptos" w:hAnsi="Aptos"/>
          <w:b w:val="0"/>
          <w:color w:val="263442"/>
          <w:sz w:val="19"/>
        </w:rPr>
        <w:t>Peralatan pemeriksaan dan pengukuran dengan status kalibrasi atau pengesahan yang sah, jika berkenaan.</w:t>
      </w:r>
    </w:p>
    <w:p>
      <w:pPr>
        <w:pStyle w:val="ListBullet"/>
        <w:spacing w:after="50"/>
        <w:ind w:left="369" w:hanging="170"/>
      </w:pPr>
      <w:r>
        <w:rPr>
          <w:rFonts w:ascii="Aptos" w:hAnsi="Aptos"/>
          <w:b w:val="0"/>
          <w:color w:val="263442"/>
          <w:sz w:val="19"/>
        </w:rPr>
        <w:t>Akses, pencahayaan, penghadang, kawalan alam sekitar dan peralatan kecemasan yang sesuai.</w:t>
      </w:r>
    </w:p>
    <w:p>
      <w:pPr>
        <w:pStyle w:val="Heading1"/>
        <w:keepNext/>
        <w:spacing w:before="240" w:after="100"/>
      </w:pPr>
      <w:r>
        <w:rPr>
          <w:rFonts w:ascii="Aptos" w:hAnsi="Aptos"/>
          <w:b/>
          <w:color w:val="071E33"/>
          <w:sz w:val="28"/>
        </w:rPr>
        <w:t>7. KEPERLUAN SEBELUM MULA</w:t>
      </w:r>
    </w:p>
    <w:p>
      <w:pPr>
        <w:pStyle w:val="ListBullet"/>
        <w:spacing w:after="50"/>
        <w:ind w:left="369" w:hanging="170"/>
      </w:pPr>
      <w:r>
        <w:rPr>
          <w:rFonts w:ascii="Aptos" w:hAnsi="Aptos"/>
          <w:b w:val="0"/>
          <w:color w:val="263442"/>
          <w:sz w:val="19"/>
        </w:rPr>
        <w:t>Dokumen terkini yang diluluskan tersedia di kawasan kerja dan maklumat yang telah diganti telah ditarik balik.</w:t>
      </w:r>
    </w:p>
    <w:p>
      <w:pPr>
        <w:pStyle w:val="ListBullet"/>
        <w:spacing w:after="50"/>
        <w:ind w:left="369" w:hanging="170"/>
      </w:pPr>
      <w:r>
        <w:rPr>
          <w:rFonts w:ascii="Aptos" w:hAnsi="Aptos"/>
          <w:b w:val="0"/>
          <w:color w:val="263442"/>
          <w:sz w:val="19"/>
        </w:rPr>
        <w:t>Kawasan kerja, akses, trade terdahulu, datum dan interface perkhidmatan telah diperiksa dan dilepaskan.</w:t>
      </w:r>
    </w:p>
    <w:p>
      <w:pPr>
        <w:pStyle w:val="ListBullet"/>
        <w:spacing w:after="50"/>
        <w:ind w:left="369" w:hanging="170"/>
      </w:pPr>
      <w:r>
        <w:rPr>
          <w:rFonts w:ascii="Aptos" w:hAnsi="Aptos"/>
          <w:b w:val="0"/>
          <w:color w:val="263442"/>
          <w:sz w:val="19"/>
        </w:rPr>
        <w:t>Bahan telah diluluskan, tidak rosak, disimpan dengan betul dan disokong oleh sijil yang diperlukan.</w:t>
      </w:r>
    </w:p>
    <w:p>
      <w:pPr>
        <w:pStyle w:val="ListBullet"/>
        <w:spacing w:after="50"/>
        <w:ind w:left="369" w:hanging="170"/>
      </w:pPr>
      <w:r>
        <w:rPr>
          <w:rFonts w:ascii="Aptos" w:hAnsi="Aptos"/>
          <w:b w:val="0"/>
          <w:color w:val="263442"/>
          <w:sz w:val="19"/>
        </w:rPr>
        <w:t>Tenaga kerja adalah kompeten, telah diberi taklimat dan dilengkapi peralatan perlindungan diri khusus tugas.</w:t>
      </w:r>
    </w:p>
    <w:p>
      <w:pPr>
        <w:pStyle w:val="ListBullet"/>
        <w:spacing w:after="50"/>
        <w:ind w:left="369" w:hanging="170"/>
      </w:pPr>
      <w:r>
        <w:rPr>
          <w:rFonts w:ascii="Aptos" w:hAnsi="Aptos"/>
          <w:b w:val="0"/>
          <w:color w:val="263442"/>
          <w:sz w:val="19"/>
        </w:rPr>
        <w:t>Penilaian risiko, permit, pengaturan mengangkat dan kelulusan kerja sementara adalah sah jika berkenaan.</w:t>
      </w:r>
    </w:p>
    <w:p>
      <w:pPr>
        <w:pStyle w:val="ListBullet"/>
        <w:spacing w:after="50"/>
        <w:ind w:left="369" w:hanging="170"/>
      </w:pPr>
      <w:r>
        <w:rPr>
          <w:rFonts w:ascii="Aptos" w:hAnsi="Aptos"/>
          <w:b w:val="0"/>
          <w:color w:val="263442"/>
          <w:sz w:val="19"/>
        </w:rPr>
        <w:t>Permohonan pemeriksaan telah dirancang mengikut hold point dan witness point; tiada kerja boleh ditutup tanpa pelepasan.</w:t>
      </w:r>
    </w:p>
    <w:p>
      <w:pPr>
        <w:pStyle w:val="Heading1"/>
        <w:keepNext/>
        <w:spacing w:before="240" w:after="100"/>
      </w:pPr>
      <w:r>
        <w:rPr>
          <w:rFonts w:ascii="Aptos" w:hAnsi="Aptos"/>
          <w:b/>
          <w:color w:val="071E33"/>
          <w:sz w:val="28"/>
        </w:rPr>
        <w:t>8. KAEDAH PELAKSANAAN</w:t>
      </w:r>
    </w:p>
    <w:p>
      <w:pPr>
        <w:pStyle w:val="Heading2"/>
        <w:keepNext/>
        <w:spacing w:before="160" w:after="100"/>
      </w:pPr>
      <w:r>
        <w:rPr>
          <w:rFonts w:ascii="Aptos" w:hAnsi="Aptos"/>
          <w:b/>
          <w:color w:val="071E33"/>
          <w:sz w:val="22"/>
        </w:rPr>
        <w:t>8.1 Pelepasan Dokumen dan Kawasan Kerja</w:t>
      </w:r>
    </w:p>
    <w:p>
      <w:pPr>
        <w:keepLines/>
        <w:spacing w:after="80" w:line="269" w:lineRule="auto"/>
      </w:pPr>
      <w:r>
        <w:rPr>
          <w:rFonts w:ascii="Aptos" w:hAnsi="Aptos"/>
          <w:b w:val="0"/>
          <w:color w:val="263442"/>
          <w:sz w:val="19"/>
        </w:rPr>
        <w:t>Jurutera Tapak hendaklah mengesahkan bahawa lukisan terkini, spesifikasi, penyerahan bahan, maklumat koordinasi dan permit yang diluluskan bagi pemeriksaan keadaan, pemetaan kecacatan dan ujian diagnostik konkrit tersedia di kawasan kerja. Kawasan fizikal hendaklah diperiksa bersama Penyelia, wakil QA/QC dan trade terlibat. Sebarang percanggahan dimensi, aras, akses, interface atau keadaan tapak hendaklah direkod dan diselesaikan secara bertulis sebelum kerja fizikal dimulakan.</w:t>
      </w:r>
    </w:p>
    <w:p>
      <w:pPr>
        <w:pStyle w:val="Heading2"/>
        <w:keepNext/>
        <w:spacing w:before="160" w:after="100"/>
      </w:pPr>
      <w:r>
        <w:rPr>
          <w:rFonts w:ascii="Aptos" w:hAnsi="Aptos"/>
          <w:b/>
          <w:color w:val="071E33"/>
          <w:sz w:val="22"/>
        </w:rPr>
        <w:t>8.2 Sumber, Kompetensi dan Taklimat Harian</w:t>
      </w:r>
    </w:p>
    <w:p>
      <w:pPr>
        <w:keepLines/>
        <w:spacing w:after="80" w:line="269" w:lineRule="auto"/>
      </w:pPr>
      <w:r>
        <w:rPr>
          <w:rFonts w:ascii="Aptos" w:hAnsi="Aptos"/>
          <w:b w:val="0"/>
          <w:color w:val="263442"/>
          <w:sz w:val="19"/>
        </w:rPr>
        <w:t>Penyelia hendaklah mengesahkan tenaga kerja, operator pakar, loji, peralatan akses dan alat pengukur berkalibrasi berdasarkan output harian yang dirancang. Taklimat tugas hendaklah menerangkan urutan diluluskan, tanggungjawab individu, zon larangan, pengaturan kecemasan, titik pemeriksaan dan keadaan yang memerlukan kerja dihentikan. Rekod kehadiran dan bukti kompetensi hendaklah disimpan bersama rekod harian.</w:t>
      </w:r>
    </w:p>
    <w:p>
      <w:pPr>
        <w:pStyle w:val="Heading2"/>
        <w:keepNext/>
        <w:spacing w:before="160" w:after="100"/>
      </w:pPr>
      <w:r>
        <w:rPr>
          <w:rFonts w:ascii="Aptos" w:hAnsi="Aptos"/>
          <w:b/>
          <w:color w:val="071E33"/>
          <w:sz w:val="22"/>
        </w:rPr>
        <w:t>8.3 Penerimaan, Penyimpanan dan Kebolehkesanan Bahan</w:t>
      </w:r>
    </w:p>
    <w:p>
      <w:pPr>
        <w:keepLines/>
        <w:spacing w:after="80" w:line="269" w:lineRule="auto"/>
      </w:pPr>
      <w:r>
        <w:rPr>
          <w:rFonts w:ascii="Aptos" w:hAnsi="Aptos"/>
          <w:b w:val="0"/>
          <w:color w:val="263442"/>
          <w:sz w:val="19"/>
        </w:rPr>
        <w:t>Bahan yang diperlukan bagi aktiviti ini hendaklah diperiksa berdasarkan penyerahan diluluskan, delivery order, pengenalan produk dan keadaan visual sebelum diterima. Bahan yang dijangka ialah: Kecacatan-marking paint, Core-hole mortar pembaikan, Couplant gel, Ambil sampel bags dan labels. Item hendaklah diasingkan mengikut jenis atau batch, disimpan daripada pencemaran dan kerosakan serta dikeluarkan ke kawasan kerja dalam kuantiti yang boleh dipasang dan dilindungi dalam syif berkenaan. Bahan yang ditolak atau tidak dikenal pasti hendaklah dikuarantin.</w:t>
      </w:r>
    </w:p>
    <w:p>
      <w:pPr>
        <w:pStyle w:val="Heading2"/>
        <w:keepNext/>
        <w:spacing w:before="160" w:after="100"/>
      </w:pPr>
      <w:r>
        <w:rPr>
          <w:rFonts w:ascii="Aptos" w:hAnsi="Aptos"/>
          <w:b/>
          <w:color w:val="071E33"/>
          <w:sz w:val="22"/>
        </w:rPr>
        <w:t>8.4 Urutan Aktiviti</w:t>
      </w:r>
    </w:p>
    <w:p>
      <w:pPr>
        <w:keepLines/>
        <w:spacing w:after="80" w:line="269" w:lineRule="auto"/>
      </w:pPr>
      <w:r>
        <w:rPr>
          <w:rFonts w:ascii="Aptos" w:hAnsi="Aptos"/>
          <w:b w:val="0"/>
          <w:color w:val="263442"/>
          <w:sz w:val="19"/>
        </w:rPr>
        <w:t>Laksanakan kerja fizikal mengikut urutan berikut. Lukisan diluluskan, spesifikasi, reka bentuk temporary works, susunan lifting dan arahan pengilang hendaklah diguna pakai apabila keperluannya lebih khusus.</w:t>
      </w:r>
    </w:p>
    <w:p>
      <w:pPr>
        <w:keepLines/>
        <w:spacing w:after="100" w:line="269" w:lineRule="auto"/>
        <w:ind w:left="369" w:hanging="369"/>
      </w:pPr>
      <w:r>
        <w:rPr>
          <w:rFonts w:ascii="Aptos" w:hAnsi="Aptos"/>
          <w:b/>
          <w:color w:val="071E33"/>
          <w:sz w:val="19"/>
        </w:rPr>
        <w:t xml:space="preserve">1. Luluskan  investigation pelan. </w:t>
      </w:r>
      <w:r>
        <w:rPr>
          <w:rFonts w:ascii="Aptos" w:hAnsi="Aptos"/>
          <w:b w:val="0"/>
          <w:color w:val="263442"/>
          <w:sz w:val="19"/>
        </w:rPr>
        <w:t>Luluskan  investigation pelan, grid, akses, uji locations dan acceptance criteria.</w:t>
      </w:r>
    </w:p>
    <w:p>
      <w:pPr>
        <w:keepLines/>
        <w:spacing w:after="100" w:line="269" w:lineRule="auto"/>
        <w:ind w:left="369" w:hanging="369"/>
      </w:pPr>
      <w:r>
        <w:rPr>
          <w:rFonts w:ascii="Aptos" w:hAnsi="Aptos"/>
          <w:b/>
          <w:color w:val="071E33"/>
          <w:sz w:val="19"/>
        </w:rPr>
        <w:t xml:space="preserve">2. Semak drawings dan rekod. </w:t>
      </w:r>
      <w:r>
        <w:rPr>
          <w:rFonts w:ascii="Aptos" w:hAnsi="Aptos"/>
          <w:b w:val="0"/>
          <w:color w:val="263442"/>
          <w:sz w:val="19"/>
        </w:rPr>
        <w:t>Semak drawings dan rekod sebelum carrying out  tutup visual dan hammer-tapping jalankan ukur.</w:t>
      </w:r>
    </w:p>
    <w:p>
      <w:pPr>
        <w:keepLines/>
        <w:spacing w:after="100" w:line="269" w:lineRule="auto"/>
        <w:ind w:left="369" w:hanging="369"/>
      </w:pPr>
      <w:r>
        <w:rPr>
          <w:rFonts w:ascii="Aptos" w:hAnsi="Aptos"/>
          <w:b/>
          <w:color w:val="071E33"/>
          <w:sz w:val="19"/>
        </w:rPr>
        <w:t xml:space="preserve">3. Map retak, delaminasi, pengelupasan konkrit, kebocoran, rust staining. </w:t>
      </w:r>
      <w:r>
        <w:rPr>
          <w:rFonts w:ascii="Aptos" w:hAnsi="Aptos"/>
          <w:b w:val="0"/>
          <w:color w:val="263442"/>
          <w:sz w:val="19"/>
        </w:rPr>
        <w:t>Map retak, delaminasi, pengelupasan konkrit, kebocoran, rust staining dan previous repairs oleh location dan severity.</w:t>
      </w:r>
    </w:p>
    <w:p>
      <w:pPr>
        <w:keepLines/>
        <w:spacing w:after="100" w:line="269" w:lineRule="auto"/>
        <w:ind w:left="369" w:hanging="369"/>
      </w:pPr>
      <w:r>
        <w:rPr>
          <w:rFonts w:ascii="Aptos" w:hAnsi="Aptos"/>
          <w:b/>
          <w:color w:val="071E33"/>
          <w:sz w:val="19"/>
        </w:rPr>
        <w:t xml:space="preserve">4. Laksanakan non-destructive ujian using peralatan berkalibrasi. </w:t>
      </w:r>
      <w:r>
        <w:rPr>
          <w:rFonts w:ascii="Aptos" w:hAnsi="Aptos"/>
          <w:b w:val="0"/>
          <w:color w:val="263442"/>
          <w:sz w:val="19"/>
        </w:rPr>
        <w:t>Laksanakan non-destructive ujian using peralatan berkalibrasi dan rekodkan alam sekitar keadaan.</w:t>
      </w:r>
    </w:p>
    <w:p>
      <w:pPr>
        <w:keepLines/>
        <w:spacing w:after="100" w:line="269" w:lineRule="auto"/>
        <w:ind w:left="369" w:hanging="369"/>
      </w:pPr>
      <w:r>
        <w:rPr>
          <w:rFonts w:ascii="Aptos" w:hAnsi="Aptos"/>
          <w:b/>
          <w:color w:val="071E33"/>
          <w:sz w:val="19"/>
        </w:rPr>
        <w:t xml:space="preserve">5. Take dust, konkrit, klorida, karbonasi atau core samples di diluluskan locations. </w:t>
      </w:r>
      <w:r>
        <w:rPr>
          <w:rFonts w:ascii="Aptos" w:hAnsi="Aptos"/>
          <w:b w:val="0"/>
          <w:color w:val="263442"/>
          <w:sz w:val="19"/>
        </w:rPr>
        <w:t>Take dust, konkrit, klorida, karbonasi atau core samples di diluluskan locations dan reinstate  holes.</w:t>
      </w:r>
    </w:p>
    <w:p>
      <w:pPr>
        <w:keepLines/>
        <w:spacing w:after="100" w:line="269" w:lineRule="auto"/>
        <w:ind w:left="369" w:hanging="369"/>
      </w:pPr>
      <w:r>
        <w:rPr>
          <w:rFonts w:ascii="Aptos" w:hAnsi="Aptos"/>
          <w:b/>
          <w:color w:val="071E33"/>
          <w:sz w:val="19"/>
        </w:rPr>
        <w:t xml:space="preserve">6. Correlate findings, sediakan marked-up drawings. </w:t>
      </w:r>
      <w:r>
        <w:rPr>
          <w:rFonts w:ascii="Aptos" w:hAnsi="Aptos"/>
          <w:b w:val="0"/>
          <w:color w:val="263442"/>
          <w:sz w:val="19"/>
        </w:rPr>
        <w:t>Correlate findings, sediakan marked-up drawings dan keluarkan  klasifikasi pembaikan dan quantity report.</w:t>
      </w:r>
    </w:p>
    <w:p>
      <w:pPr>
        <w:keepNext/>
        <w:spacing w:before="120" w:after="60"/>
      </w:pPr>
      <w:r>
        <w:rPr>
          <w:rFonts w:ascii="Aptos" w:hAnsi="Aptos"/>
          <w:b/>
          <w:color w:val="F2A51A"/>
          <w:sz w:val="20"/>
        </w:rPr>
        <w:t>Nota yang terpakai kepada keseluruhan Urutan Aktiviti</w:t>
      </w:r>
    </w:p>
    <w:p>
      <w:pPr>
        <w:pStyle w:val="ListBullet"/>
        <w:spacing w:after="50"/>
        <w:ind w:left="369" w:hanging="170"/>
      </w:pPr>
      <w:r>
        <w:rPr>
          <w:rFonts w:ascii="Aptos" w:hAnsi="Aptos"/>
          <w:b w:val="0"/>
          <w:color w:val="263442"/>
          <w:sz w:val="19"/>
        </w:rPr>
        <w:t>Kawalan mutu: gunakan kawalan ini bagi keseluruhan Urutan Aktiviti. Sahkan investigation pelan; kecacatan map; peralatan kalibrasi; uji data; ambil sampel kebolehkesanan; diagnostic report berdasarkan lukisan diluluskan, spesifikasi, data bahan, toleransi dipersetujui serta Pelan Pemeriksaan dan Pengujian. Dapatkan pelepasan hold point atau witness point yang diperlukan sebelum kerja ditutup atau diteruskan melepasi peringkat terkawal.</w:t>
      </w:r>
    </w:p>
    <w:p>
      <w:pPr>
        <w:pStyle w:val="ListBullet"/>
        <w:spacing w:after="50"/>
        <w:ind w:left="369" w:hanging="170"/>
      </w:pPr>
      <w:r>
        <w:rPr>
          <w:rFonts w:ascii="Aptos" w:hAnsi="Aptos"/>
          <w:b w:val="0"/>
          <w:color w:val="263442"/>
          <w:sz w:val="19"/>
        </w:rPr>
        <w:t>Kawalan keselamatan dan interface: kekalkan kawalan risiko, permit, akses dan zon larangan yang diluluskan bagi kerja di tempat tinggi; falling fragments; habuk silika; hidden services; core-drilling air. Selaraskan kawasan kerja dengan trade terdahulu dan seterusnya, lindungi kerja siap serta kerja bersebelahan, dan hentikan aktiviti apabila keadaan tapak berbeza daripada susunan diluluskan.</w:t>
      </w:r>
    </w:p>
    <w:p>
      <w:pPr>
        <w:pStyle w:val="ListBullet"/>
        <w:spacing w:after="50"/>
        <w:ind w:left="369" w:hanging="170"/>
      </w:pPr>
      <w:r>
        <w:rPr>
          <w:rFonts w:ascii="Aptos" w:hAnsi="Aptos"/>
          <w:b w:val="0"/>
          <w:color w:val="263442"/>
          <w:sz w:val="19"/>
        </w:rPr>
        <w:t>Rekod: simpan lukisan dan penyerahan diluluskan, rekod penghantaran dan kebolehkesanan bahan, laporan harian, permohonan pemeriksaan, senarai semak, keputusan ujian dan ukur, permit, gambar, penutupan ketidakpatuhan serta rekod penyerahan yang berkaitan dengan keseluruhan Urutan Aktiviti.</w:t>
      </w:r>
    </w:p>
    <w:p>
      <w:pPr>
        <w:pStyle w:val="Heading2"/>
        <w:keepNext/>
        <w:spacing w:before="160" w:after="100"/>
      </w:pPr>
      <w:r>
        <w:rPr>
          <w:rFonts w:ascii="Aptos" w:hAnsi="Aptos"/>
          <w:b/>
          <w:color w:val="071E33"/>
          <w:sz w:val="22"/>
        </w:rPr>
        <w:t>8.5 Pemeriksaan Akhir, Pembetulan dan Perlindungan</w:t>
      </w:r>
    </w:p>
    <w:p>
      <w:pPr>
        <w:keepLines/>
        <w:spacing w:after="80" w:line="269" w:lineRule="auto"/>
      </w:pPr>
      <w:r>
        <w:rPr>
          <w:rFonts w:ascii="Aptos" w:hAnsi="Aptos"/>
          <w:b w:val="0"/>
          <w:color w:val="263442"/>
          <w:sz w:val="19"/>
        </w:rPr>
        <w:t>Selepas seksyen kerja ditetapkan siap, Penyelia dan wakil QA/QC hendaklah menjalankan pemeriksaan sistematik menggunakan senarai semak diluluskan. Kecacatan, interface tidak lengkap, kerosakan, pencemaran atau kerja di luar toleransi hendaklah ditanda dan dibaiki menggunakan prosedur diterima. Kerja siap hendaklah dilindungi daripada trafik, cuaca, hentaman, trade seterusnya dan beban pramatang sehingga diterima secara rasmi.</w:t>
      </w:r>
    </w:p>
    <w:p>
      <w:pPr>
        <w:pStyle w:val="Heading2"/>
        <w:keepNext/>
        <w:spacing w:before="160" w:after="100"/>
      </w:pPr>
      <w:r>
        <w:rPr>
          <w:rFonts w:ascii="Aptos" w:hAnsi="Aptos"/>
          <w:b/>
          <w:color w:val="071E33"/>
          <w:sz w:val="22"/>
        </w:rPr>
        <w:t>8.6 Pengujian, Rekod dan Penyerahan</w:t>
      </w:r>
    </w:p>
    <w:p>
      <w:pPr>
        <w:keepLines/>
        <w:spacing w:after="80" w:line="269" w:lineRule="auto"/>
      </w:pPr>
      <w:r>
        <w:rPr>
          <w:rFonts w:ascii="Aptos" w:hAnsi="Aptos"/>
          <w:b w:val="0"/>
          <w:color w:val="263442"/>
          <w:sz w:val="19"/>
        </w:rPr>
        <w:t>Jurutera Tapak hendaklah mengumpulkan permohonan pemeriksaan, laporan ujian, maklumat ukur, rekod penghantaran dan kebolehkesanan, permit, gambar, penutupan ketidakpatuhan serta data as-built yang berkaitan. Kawasan siap hanya boleh diserahkan bersama kepada trade seterusnya atau Perunding selepas semua hold point, keputusan ujian, ulasan dan perkara tertunggak ditutup atau dipersetujui secara rasmi.</w:t>
      </w:r>
    </w:p>
    <w:p>
      <w:pPr>
        <w:pStyle w:val="Heading1"/>
        <w:keepNext/>
        <w:spacing w:before="240" w:after="100"/>
      </w:pPr>
      <w:r>
        <w:rPr>
          <w:rFonts w:ascii="Aptos" w:hAnsi="Aptos"/>
          <w:b/>
          <w:color w:val="071E33"/>
          <w:sz w:val="28"/>
        </w:rPr>
        <w:t>9. PEMERIKSAAN DAN KAWALAN MUTU</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t>Peringkat / Pemeriksaan</w:t>
            </w:r>
            <w:r>
              <w:rPr>
                <w:rFonts w:ascii="Aptos" w:hAnsi="Aptos"/>
                <w:b/>
                <w:color w:val="FFFFFF"/>
                <w:sz w:val="17"/>
              </w:rPr>
            </w:r>
          </w:p>
        </w:tc>
        <w:tc>
          <w:tcPr>
            <w:tcW w:type="dxa" w:w="3402"/>
            <w:shd w:fill="071E33"/>
            <w:tcMar>
              <w:top w:w="120" w:type="dxa"/>
              <w:start w:w="140" w:type="dxa"/>
              <w:bottom w:w="120" w:type="dxa"/>
              <w:end w:w="140" w:type="dxa"/>
            </w:tcMar>
            <w:vAlign w:val="center"/>
          </w:tcPr>
          <w:p>
            <w:pPr>
              <w:spacing w:after="0"/>
              <w:jc w:val="left"/>
            </w:pPr>
            <w:r>
              <w:t>Asas penerimaan</w:t>
            </w:r>
            <w:r>
              <w:rPr>
                <w:rFonts w:ascii="Aptos" w:hAnsi="Aptos"/>
                <w:b/>
                <w:color w:val="FFFFFF"/>
                <w:sz w:val="17"/>
              </w:rPr>
            </w:r>
          </w:p>
        </w:tc>
        <w:tc>
          <w:tcPr>
            <w:tcW w:type="dxa" w:w="2835"/>
            <w:shd w:fill="071E33"/>
            <w:tcMar>
              <w:top w:w="120" w:type="dxa"/>
              <w:start w:w="140" w:type="dxa"/>
              <w:bottom w:w="120" w:type="dxa"/>
              <w:end w:w="140" w:type="dxa"/>
            </w:tcMar>
            <w:vAlign w:val="center"/>
          </w:tcPr>
          <w:p>
            <w:pPr>
              <w:spacing w:after="0"/>
              <w:jc w:val="left"/>
            </w:pPr>
            <w:r>
              <w:t>Rekod</w:t>
            </w:r>
            <w:r>
              <w:rPr>
                <w:rFonts w:ascii="Aptos" w:hAnsi="Aptos"/>
                <w:b/>
                <w:color w:val="FFFFFF"/>
                <w:sz w:val="17"/>
              </w:rPr>
            </w:r>
          </w:p>
        </w:tc>
        <w:tc>
          <w:tcPr>
            <w:tcW w:type="dxa" w:w="794"/>
            <w:shd w:fill="071E33"/>
            <w:tcMar>
              <w:top w:w="120" w:type="dxa"/>
              <w:start w:w="140" w:type="dxa"/>
              <w:bottom w:w="120" w:type="dxa"/>
              <w:end w:w="140" w:type="dxa"/>
            </w:tcMar>
            <w:vAlign w:val="center"/>
          </w:tcPr>
          <w:p>
            <w:pPr>
              <w:spacing w:after="0"/>
              <w:jc w:val="left"/>
            </w:pPr>
            <w:r>
              <w:t>Titik</w:t>
            </w:r>
            <w:r>
              <w:rPr>
                <w:rFonts w:ascii="Aptos" w:hAnsi="Aptos"/>
                <w:b/>
                <w:color w:val="FFFFFF"/>
                <w:sz w:val="17"/>
              </w:rPr>
            </w:r>
          </w:p>
        </w:tc>
      </w:tr>
      <w:tr>
        <w:trPr>
          <w:cantSplit/>
        </w:trPr>
        <w:tc>
          <w:tcPr>
            <w:tcW w:type="dxa" w:w="2324"/>
            <w:tcMar>
              <w:top w:w="120" w:type="dxa"/>
              <w:start w:w="140" w:type="dxa"/>
              <w:bottom w:w="120" w:type="dxa"/>
              <w:end w:w="140" w:type="dxa"/>
            </w:tcMar>
            <w:vAlign w:val="center"/>
          </w:tcPr>
          <w:p>
            <w:pPr>
              <w:spacing w:after="0"/>
              <w:jc w:val="left"/>
            </w:pPr>
            <w:r>
              <w:t>Investigation pelan</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t>Kecacatan map</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t>Peralatan kalibrasi</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t>Uji data</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t>Ambil sampel kebolehkesanan</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Diagnostic report</w:t>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jangan teruskan tanpa pelepasan. W = Witness point: berikan notis dan teruskan hanya di bawah Pelan Pemeriksaan dan Pengujian yang diluluskan.</w:t>
      </w:r>
    </w:p>
    <w:p>
      <w:pPr>
        <w:pStyle w:val="Heading1"/>
        <w:keepNext/>
        <w:spacing w:before="240" w:after="100"/>
      </w:pPr>
      <w:r>
        <w:rPr>
          <w:rFonts w:ascii="Aptos" w:hAnsi="Aptos"/>
          <w:b/>
          <w:color w:val="071E33"/>
          <w:sz w:val="28"/>
        </w:rPr>
        <w:t>10. KESELAMATAN, KESIHATAN DAN ALAM SEKITAR</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t>Bahaya / Aspek</w:t>
            </w:r>
            <w:r>
              <w:rPr>
                <w:rFonts w:ascii="Aptos" w:hAnsi="Aptos"/>
                <w:b/>
                <w:color w:val="FFFFFF"/>
                <w:sz w:val="17"/>
              </w:rPr>
            </w:r>
          </w:p>
        </w:tc>
        <w:tc>
          <w:tcPr>
            <w:tcW w:type="dxa" w:w="6746"/>
            <w:shd w:fill="071E33"/>
            <w:tcMar>
              <w:top w:w="120" w:type="dxa"/>
              <w:start w:w="140" w:type="dxa"/>
              <w:bottom w:w="120" w:type="dxa"/>
              <w:end w:w="140" w:type="dxa"/>
            </w:tcMar>
            <w:vAlign w:val="center"/>
          </w:tcPr>
          <w:p>
            <w:pPr>
              <w:spacing w:after="0"/>
              <w:jc w:val="left"/>
            </w:pPr>
            <w:r>
              <w:t>Kawalan minimum</w:t>
            </w:r>
            <w:r>
              <w:rPr>
                <w:rFonts w:ascii="Aptos" w:hAnsi="Aptos"/>
                <w:b/>
                <w:color w:val="FFFFFF"/>
                <w:sz w:val="17"/>
              </w:rPr>
            </w:r>
          </w:p>
        </w:tc>
      </w:tr>
      <w:tr>
        <w:trPr>
          <w:cantSplit/>
        </w:trPr>
        <w:tc>
          <w:tcPr>
            <w:tcW w:type="dxa" w:w="2891"/>
            <w:tcMar>
              <w:top w:w="120" w:type="dxa"/>
              <w:start w:w="140" w:type="dxa"/>
              <w:bottom w:w="120" w:type="dxa"/>
              <w:end w:w="140" w:type="dxa"/>
            </w:tcMar>
            <w:vAlign w:val="center"/>
          </w:tcPr>
          <w:p>
            <w:pPr>
              <w:spacing w:after="0"/>
              <w:jc w:val="left"/>
            </w:pPr>
            <w:r>
              <w:t>Kerja di tempat tinggi</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Gunakan penilaian risiko tugas, penyeliaan kompeten, zon larangan dan permit yang diperlukan.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Falling fragments</w:t>
            </w:r>
          </w:p>
        </w:tc>
        <w:tc>
          <w:tcPr>
            <w:tcW w:type="dxa" w:w="6746"/>
            <w:shd w:fill="F4F7FA"/>
            <w:tcMar>
              <w:top w:w="120" w:type="dxa"/>
              <w:start w:w="140" w:type="dxa"/>
              <w:bottom w:w="120" w:type="dxa"/>
              <w:end w:w="140" w:type="dxa"/>
            </w:tcMar>
            <w:vAlign w:val="center"/>
          </w:tcPr>
          <w:p>
            <w:pPr>
              <w:spacing w:after="0"/>
              <w:jc w:val="left"/>
            </w:pPr>
            <w:r>
              <w:t>Gunakan loji yang diperiksa, akses sesuai dan pengasingan fizikal daripada orang atau operasi aktif.</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Habuk silika</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Pakai PPE khusus tugas dan kawal pendedahan pada punca melalui pengadang, pengudaraan atau kaedah basah.</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Hidden services</w:t>
            </w:r>
          </w:p>
        </w:tc>
        <w:tc>
          <w:tcPr>
            <w:tcW w:type="dxa" w:w="6746"/>
            <w:shd w:fill="F4F7FA"/>
            <w:tcMar>
              <w:top w:w="120" w:type="dxa"/>
              <w:start w:w="140" w:type="dxa"/>
              <w:bottom w:w="120" w:type="dxa"/>
              <w:end w:w="140" w:type="dxa"/>
            </w:tcMar>
            <w:vAlign w:val="center"/>
          </w:tcPr>
          <w:p>
            <w:pPr>
              <w:spacing w:after="0"/>
              <w:jc w:val="left"/>
            </w:pPr>
            <w:r>
              <w:t>Sediakan pelan pemulihan, komunikasi kecemasan serta peralatan pertolongan cemas atau menyelamat yang sesuai dengan risiko.</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Core-drilling air</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Gunakan penilaian risiko tugas, penyeliaan kompeten, zon larangan dan permit yang diperlukan.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Sisa dan pencemaran</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Asingkan sisa, cegah pelepasan ke longkang, kawal tumpahan dan simpan rekod pelupusan.</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Bunyi bising, habuk dan gangguan</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Gunakan peralatan yang disenggara, kaedah kawalan dan waktu kerja diluluskan; pantau apabila diperlukan.</w:t>
            </w:r>
            <w:r>
              <w:rPr>
                <w:rFonts w:ascii="Aptos" w:hAnsi="Aptos"/>
                <w:b w:val="0"/>
                <w:color w:val="263442"/>
                <w:sz w:val="17"/>
              </w:rPr>
            </w:r>
          </w:p>
        </w:tc>
      </w:tr>
    </w:tbl>
    <w:p>
      <w:pPr>
        <w:pStyle w:val="Heading1"/>
        <w:keepNext/>
        <w:spacing w:before="240" w:after="100"/>
      </w:pPr>
      <w:r>
        <w:rPr>
          <w:rFonts w:ascii="Aptos" w:hAnsi="Aptos"/>
          <w:b/>
          <w:color w:val="071E33"/>
          <w:sz w:val="28"/>
        </w:rPr>
        <w:t>11. KETIDAKPATUHAN DAN TINDAKAN PEMBETULAN</w:t>
      </w:r>
    </w:p>
    <w:p>
      <w:pPr>
        <w:pStyle w:val="ListBullet"/>
        <w:spacing w:after="50"/>
        <w:ind w:left="369" w:hanging="170"/>
      </w:pPr>
      <w:r>
        <w:rPr>
          <w:rFonts w:ascii="Aptos" w:hAnsi="Aptos"/>
          <w:b w:val="0"/>
          <w:color w:val="263442"/>
          <w:sz w:val="19"/>
        </w:rPr>
        <w:t>Hentikan dan kenal pasti kerja yang tidak memenuhi keperluan diluluskan.</w:t>
      </w:r>
    </w:p>
    <w:p>
      <w:pPr>
        <w:pStyle w:val="ListBullet"/>
        <w:spacing w:after="50"/>
        <w:ind w:left="369" w:hanging="170"/>
      </w:pPr>
      <w:r>
        <w:rPr>
          <w:rFonts w:ascii="Aptos" w:hAnsi="Aptos"/>
          <w:b w:val="0"/>
          <w:color w:val="263442"/>
          <w:sz w:val="19"/>
        </w:rPr>
        <w:t>Lindungi kawasan terjejas dan keluarkan rekod ketidakpatuhan projek jika diperlukan.</w:t>
      </w:r>
    </w:p>
    <w:p>
      <w:pPr>
        <w:pStyle w:val="ListBullet"/>
        <w:spacing w:after="50"/>
        <w:ind w:left="369" w:hanging="170"/>
      </w:pPr>
      <w:r>
        <w:rPr>
          <w:rFonts w:ascii="Aptos" w:hAnsi="Aptos"/>
          <w:b w:val="0"/>
          <w:color w:val="263442"/>
          <w:sz w:val="19"/>
        </w:rPr>
        <w:t>Jangan baiki, alih atau tutup kerja tidak patuh sehingga arahan pelupusan yang dibenarkan dikeluarkan.</w:t>
      </w:r>
    </w:p>
    <w:p>
      <w:pPr>
        <w:pStyle w:val="ListBullet"/>
        <w:spacing w:after="50"/>
        <w:ind w:left="369" w:hanging="170"/>
      </w:pPr>
      <w:r>
        <w:rPr>
          <w:rFonts w:ascii="Aptos" w:hAnsi="Aptos"/>
          <w:b w:val="0"/>
          <w:color w:val="263442"/>
          <w:sz w:val="19"/>
        </w:rPr>
        <w:t>Periksa semula dan tutup rekod dengan bukti sokongan selepas kerja pembetulan.</w:t>
      </w:r>
    </w:p>
    <w:p>
      <w:pPr>
        <w:pStyle w:val="Heading1"/>
        <w:keepNext/>
        <w:spacing w:before="240" w:after="100"/>
      </w:pPr>
      <w:r>
        <w:rPr>
          <w:rFonts w:ascii="Aptos" w:hAnsi="Aptos"/>
          <w:b/>
          <w:color w:val="071E33"/>
          <w:sz w:val="28"/>
        </w:rPr>
        <w:t>12. REKOD</w:t>
      </w:r>
    </w:p>
    <w:p>
      <w:pPr>
        <w:pStyle w:val="ListBullet"/>
        <w:spacing w:after="50"/>
        <w:ind w:left="369" w:hanging="170"/>
      </w:pPr>
      <w:r>
        <w:rPr>
          <w:rFonts w:ascii="Aptos" w:hAnsi="Aptos"/>
          <w:b w:val="0"/>
          <w:color w:val="263442"/>
          <w:sz w:val="19"/>
        </w:rPr>
        <w:t>Penyata kaedah, penilaian risiko, permit dan kehadiran taklimat toolbox yang diluluskan.</w:t>
      </w:r>
    </w:p>
    <w:p>
      <w:pPr>
        <w:pStyle w:val="ListBullet"/>
        <w:spacing w:after="50"/>
        <w:ind w:left="369" w:hanging="170"/>
      </w:pPr>
      <w:r>
        <w:rPr>
          <w:rFonts w:ascii="Aptos" w:hAnsi="Aptos"/>
          <w:b w:val="0"/>
          <w:color w:val="263442"/>
          <w:sz w:val="19"/>
        </w:rPr>
        <w:t>Kelulusan bahan, rekod penghantaran, sijil dan rekod kebolehkesanan.</w:t>
      </w:r>
    </w:p>
    <w:p>
      <w:pPr>
        <w:pStyle w:val="ListBullet"/>
        <w:spacing w:after="50"/>
        <w:ind w:left="369" w:hanging="170"/>
      </w:pPr>
      <w:r>
        <w:rPr>
          <w:rFonts w:ascii="Aptos" w:hAnsi="Aptos"/>
          <w:b w:val="0"/>
          <w:color w:val="263442"/>
          <w:sz w:val="19"/>
        </w:rPr>
        <w:t>Permohonan pemeriksaan, senarai semak, rekod ukur, laporan ujian dan bukti kalibrasi.</w:t>
      </w:r>
    </w:p>
    <w:p>
      <w:pPr>
        <w:pStyle w:val="ListBullet"/>
        <w:spacing w:after="50"/>
        <w:ind w:left="369" w:hanging="170"/>
      </w:pPr>
      <w:r>
        <w:rPr>
          <w:rFonts w:ascii="Aptos" w:hAnsi="Aptos"/>
          <w:b w:val="0"/>
          <w:color w:val="263442"/>
          <w:sz w:val="19"/>
        </w:rPr>
        <w:t>Gambar, laporan harian, rekod ketidakpatuhan, maklumat as-built dan dokumen penyerahan.</w:t>
      </w:r>
    </w:p>
    <w:p>
      <w:pPr>
        <w:pStyle w:val="Heading1"/>
        <w:keepNext/>
        <w:spacing w:before="240" w:after="100"/>
      </w:pPr>
      <w:r>
        <w:rPr>
          <w:rFonts w:ascii="Aptos" w:hAnsi="Aptos"/>
          <w:b/>
          <w:color w:val="071E33"/>
          <w:sz w:val="28"/>
        </w:rPr>
        <w:t>LAMPIRAN A — SENARAI SEMAK SEBELUM KERJA</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t>Bil.</w:t>
            </w:r>
            <w:r>
              <w:rPr>
                <w:rFonts w:ascii="Aptos" w:hAnsi="Aptos"/>
                <w:b/>
                <w:color w:val="FFFFFF"/>
                <w:sz w:val="17"/>
              </w:rPr>
            </w:r>
          </w:p>
        </w:tc>
        <w:tc>
          <w:tcPr>
            <w:tcW w:type="dxa" w:w="4762"/>
            <w:shd w:fill="071E33"/>
            <w:tcMar>
              <w:top w:w="120" w:type="dxa"/>
              <w:start w:w="140" w:type="dxa"/>
              <w:bottom w:w="120" w:type="dxa"/>
              <w:end w:w="140" w:type="dxa"/>
            </w:tcMar>
            <w:vAlign w:val="center"/>
          </w:tcPr>
          <w:p>
            <w:pPr>
              <w:spacing w:after="0"/>
              <w:jc w:val="left"/>
            </w:pPr>
            <w:r>
              <w:t>Pengesahan</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Ya</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Tidak</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t>Catatan</w:t>
            </w:r>
            <w:r>
              <w:rPr>
                <w:rFonts w:ascii="Aptos" w:hAnsi="Aptos"/>
                <w:b/>
                <w:color w:val="FFFFFF"/>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t>Lukisan dan spesifikasi diluluskan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t>Penyerahan bahan dan sampel diluluskan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t>Kawasan kerja dan trade terdahulu dilepaskan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t>Penilaian risiko dan permit sah</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t>Sumber, akses dan alat berkalibrasi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t>Hold point / witness point dan tempoh notis disahkan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t>Interface dengan trade lain diselaraskan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t>Kawalan alam sekitar dan kecemasan tersedia</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LAMPIRAN B — PINDAAN KHUSUS PROJEK</w:t>
      </w:r>
    </w:p>
    <w:p>
      <w:r>
        <w:rPr>
          <w:rFonts w:ascii="Aptos" w:hAnsi="Aptos"/>
          <w:b w:val="0"/>
          <w:color w:val="263442"/>
          <w:sz w:val="19"/>
        </w:rPr>
        <w:t>Rekodkan setiap perubahan khusus projek yang dibuat pada template ini sebelum penyerahan.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t>Seksyen</w:t>
            </w:r>
            <w:r>
              <w:rPr>
                <w:rFonts w:ascii="Aptos" w:hAnsi="Aptos"/>
                <w:b/>
                <w:color w:val="FFFFFF"/>
                <w:sz w:val="17"/>
              </w:rPr>
            </w:r>
          </w:p>
        </w:tc>
        <w:tc>
          <w:tcPr>
            <w:tcW w:type="dxa" w:w="4535"/>
            <w:shd w:fill="071E33"/>
            <w:tcMar>
              <w:top w:w="120" w:type="dxa"/>
              <w:start w:w="140" w:type="dxa"/>
              <w:bottom w:w="120" w:type="dxa"/>
              <w:end w:w="140" w:type="dxa"/>
            </w:tcMar>
            <w:vAlign w:val="center"/>
          </w:tcPr>
          <w:p>
            <w:pPr>
              <w:spacing w:after="0"/>
              <w:jc w:val="left"/>
            </w:pPr>
            <w:r>
              <w:t>Keperluan / perubahan khusus projek</w:t>
            </w:r>
            <w:r>
              <w:rPr>
                <w:rFonts w:ascii="Aptos" w:hAnsi="Aptos"/>
                <w:b/>
                <w:color w:val="FFFFFF"/>
                <w:sz w:val="17"/>
              </w:rPr>
            </w:r>
          </w:p>
        </w:tc>
        <w:tc>
          <w:tcPr>
            <w:tcW w:type="dxa" w:w="2268"/>
            <w:shd w:fill="071E33"/>
            <w:tcMar>
              <w:top w:w="120" w:type="dxa"/>
              <w:start w:w="140" w:type="dxa"/>
              <w:bottom w:w="120" w:type="dxa"/>
              <w:end w:w="140" w:type="dxa"/>
            </w:tcMar>
            <w:vAlign w:val="center"/>
          </w:tcPr>
          <w:p>
            <w:pPr>
              <w:spacing w:after="0"/>
              <w:jc w:val="left"/>
            </w:pPr>
            <w:r>
              <w:t>Sumber / rujukan</w:t>
            </w:r>
            <w:r>
              <w:rPr>
                <w:rFonts w:ascii="Aptos" w:hAnsi="Aptos"/>
                <w:b/>
                <w:color w:val="FFFFFF"/>
                <w:sz w:val="17"/>
              </w:rPr>
            </w:r>
          </w:p>
        </w:tc>
        <w:tc>
          <w:tcPr>
            <w:tcW w:type="dxa" w:w="1417"/>
            <w:shd w:fill="071E33"/>
            <w:tcMar>
              <w:top w:w="120" w:type="dxa"/>
              <w:start w:w="140" w:type="dxa"/>
              <w:bottom w:w="120" w:type="dxa"/>
              <w:end w:w="140" w:type="dxa"/>
            </w:tcMar>
            <w:vAlign w:val="center"/>
          </w:tcPr>
          <w:p>
            <w:pPr>
              <w:spacing w:after="0"/>
              <w:jc w:val="left"/>
            </w:pPr>
            <w:r>
              <w:t>Paraf</w:t>
            </w:r>
            <w:r>
              <w:rPr>
                <w:rFonts w:ascii="Aptos" w:hAnsi="Aptos"/>
                <w:b/>
                <w:color w:val="FFFFFF"/>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t>Template boleh diedit — semakan khusus projek diperlukan</w:t>
          </w:r>
          <w:r>
            <w:rPr>
              <w:rFonts w:ascii="Aptos" w:hAnsi="Aptos"/>
              <w:b w:val="0"/>
              <w:color w:val="5E6B78"/>
              <w:sz w:val="15"/>
            </w:rPr>
          </w:r>
        </w:p>
      </w:tc>
      <w:tc>
        <w:tcPr>
          <w:tcW w:type="dxa" w:w="4392"/>
          <w:tcMar>
            <w:top w:w="120" w:type="dxa"/>
            <w:start w:w="140" w:type="dxa"/>
            <w:bottom w:w="120" w:type="dxa"/>
            <w:end w:w="140" w:type="dxa"/>
          </w:tcMar>
          <w:vAlign w:val="center"/>
        </w:tcPr>
        <w:p>
          <w:pPr>
            <w:spacing w:after="0"/>
            <w:jc w:val="right"/>
          </w:pPr>
          <w:r>
            <w:t>Salinan Terkawal: Tidak</w:t>
          </w:r>
          <w:r>
            <w:rPr>
              <w:rFonts w:ascii="Aptos" w:hAnsi="Aptos"/>
              <w:b w:val="0"/>
              <w:color w:val="5E6B78"/>
              <w:sz w:val="15"/>
            </w:rPr>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MS-CRP-001</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Penyata Kaedah – Pemeriksaan Keadaan, Pemetaan Kecacatan dan Ujian Diagnostik Konkrit</dc:title>
  <dc:subject>Template penyata kaedah pembinaan yang boleh diedit</dc:subject>
  <dc:creator>Method Statement Hub Malaysia</dc:creator>
  <cp:keywords>concrete repair, condition survey, defect mapping, diagnostic testing</cp:keywords>
  <dc:description>generated by python-docx</dc:description>
  <cp:lastModifiedBy/>
  <cp:revision>1</cp:revision>
  <dcterms:created xsi:type="dcterms:W3CDTF">2013-12-23T23:15:00Z</dcterms:created>
  <dcterms:modified xsi:type="dcterms:W3CDTF">2013-12-23T23:15:00Z</dcterms:modified>
  <cp:category/>
</cp:coreProperties>
</file>